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ESN CORVINUS – ERASMUS HALLGATÓK HÁLÓZATÁNAK </w:t>
        <w:tab/>
        <w:tab/>
        <w:tab/>
        <w:tab/>
        <w:tab/>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 xml:space="preserve">EGYESÜLETE ALAPSZABÁLYA</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r>
      <w:r w:rsidDel="00000000" w:rsidR="00000000" w:rsidRPr="00000000">
        <w:rPr>
          <w:rFonts w:ascii="Times New Roman" w:cs="Times New Roman" w:eastAsia="Times New Roman" w:hAnsi="Times New Roman"/>
          <w:b w:val="1"/>
          <w:sz w:val="24"/>
          <w:szCs w:val="24"/>
          <w:rtl w:val="0"/>
        </w:rPr>
        <w:t xml:space="preserve">(egységes szerkezetben, a változások dőlt betűvel jelölve)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Alulírott alapítók az egyesülési jogról szóló 1989. évi II. tv. 12.§ 1 (bek.) alapján létrehozták a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ESN CORVINUS – ERASMUS HALLGATÓK HÁLÓZATÁNAK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EGYESÜLETÉT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alábbiak szerint: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I.</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 xml:space="preserve"> Az  Egyesület adatai:</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Az Egyesület neve: ESN Corvinus-Erasmus Hallgatók Hálózatának Egyesülete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rövidített neve: ESN Corvinus-Erasmus Egyesület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Az Egyesület székhelye: 1093 Budapest Fővám tér 8</w:t>
      </w: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Az Egyesület angol nyelvű elnevezése: ESN Corvinus - Erasmus Student Network Association.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rövidített angol nyelvű elnevezése: ESN Corvinus-Erasmus Association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Az Egyesület internetes elérhetősége: www.corvinus.esn.hu</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ab/>
        <w:tab/>
      </w:r>
      <w:r w:rsidDel="00000000" w:rsidR="00000000" w:rsidRPr="00000000">
        <w:rPr>
          <w:rFonts w:ascii="Times New Roman" w:cs="Times New Roman" w:eastAsia="Times New Roman" w:hAnsi="Times New Roman"/>
          <w:b w:val="1"/>
          <w:sz w:val="24"/>
          <w:szCs w:val="24"/>
          <w:rtl w:val="0"/>
        </w:rPr>
        <w:t xml:space="preserve">II.</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 xml:space="preserve">            Az Egyesület célja és feladatai:</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 Az Egyesület közfeladat ellátása érdekében szervezeti keretet határoz meg és működési lehetőséget biztosít azoknak az egyetemista fiataloknak, akik számára fontos a magyar és más kultúrák értékeinek megőrzése, a hazai és nemzetközi hallgatókkal való kapcsolatépítés és együttműködés, valamint támogatja a magyar egyetemisták nemzetközi szintű aktivitását, mobilitását és szerepvállalását.</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2.) Az Egyesület közhasznú tevékenységének célja:</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A Budapesti Corvinus Egyetemen tanuló nemzetközi diákok közösségbe való integrációjának támogatása.</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Magyarország és a magyar kultúra értékeinek megőrzése, illetve a közösségi kulturális hagyományok ápolása.</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Közös programokon keresztül lehetőség biztosítása különböző kultúrák megismerésére.</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A magyar hallgatók ismereteinek gazdagítása a nemzetközi lehetőségekről és a külföldi tanulásról, valamint mobilitásuk előmozdítása.</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Az egyetemi hallgatók együttműködésének és kapcsolatrendszerük bővítésének ösztönzése.</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3.</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 Az Egyesület által végzett közhasznú tevékenységek:</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kulturális tevékenység</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nevelés és oktatás, képességfejlesztés, ismeretterjesztés</w:t>
      </w:r>
    </w:p>
    <w:p w:rsidR="00000000" w:rsidDel="00000000" w:rsidP="00000000" w:rsidRDefault="00000000" w:rsidRPr="00000000">
      <w:pPr>
        <w:spacing w:line="24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4.) Az Egyesület feladatai:</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Különböző kulturális programok, kirándulások szervezése</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b) Hozzájárulás az egyetemi hallgatók kulturális és közösségi életének gazdagításához</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c) Programok, tréningek szervezése, amely lehetővé teszi az iskolán kívüli ismeretszerzést, tanulást és képességfejlesztést.</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 Kapcsolattartás külföldi diákszervezetekkel a nemzetközi együttműködés érdekében</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 Példamutatás külföldi egyetemeknek hasonló diákszervezetek működtetésében.</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f) A 2. pontban meghatározott célok érdekében kapcsolat ápolása a Budapesti Corvinus Egyetemen működő szervezetekkel, valamint az ESN (Erasmus Student Network) nemzetközi szervezet magyarországi és nemzetközi képviseletével.</w:t>
      </w:r>
    </w:p>
    <w:p w:rsidR="00000000" w:rsidDel="00000000" w:rsidP="00000000" w:rsidRDefault="00000000" w:rsidRPr="00000000">
      <w:pPr>
        <w:spacing w:line="240" w:lineRule="auto"/>
        <w:contextualSpacing w:val="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5.) Tevékenységével kapcsolatban ellátja tagjai érdekképviseletét.</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6.) Az Egyesület céljai megvalósításához szükséges anyagi feltételek megteremtése érdekében a jogszabály előírása szerint gazdasági, vállalkozási tevékenységet folytathat, gazdasági társaságot és alapítványt hozhat létre, ilyenbe tagként beléphet.</w:t>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7.) Az Egyesület közvetlen politikai tevékenységet nem folytat, szervezete pártoktól független és azoknak anyagi támogatást nem nyújt, ill. azoktól támogatást nem kap, továbbá országgyűlési és megyei, valamint fővárosi önkormányzati képviselőjelöltet nem állít és nem támogat, tevékenysége nonprofit jellegű.</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r>
    </w:p>
    <w:p w:rsidR="00000000" w:rsidDel="00000000" w:rsidP="00000000" w:rsidRDefault="00000000" w:rsidRPr="00000000">
      <w:pPr>
        <w:spacing w:line="240" w:lineRule="auto"/>
        <w:ind w:firstLine="28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r w:rsidDel="00000000" w:rsidR="00000000" w:rsidRPr="00000000">
        <w:rPr>
          <w:rFonts w:ascii="Times New Roman" w:cs="Times New Roman" w:eastAsia="Times New Roman" w:hAnsi="Times New Roman"/>
          <w:b w:val="1"/>
          <w:sz w:val="24"/>
          <w:szCs w:val="24"/>
          <w:rtl w:val="0"/>
        </w:rPr>
        <w:tab/>
        <w:t xml:space="preserve">III.</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 xml:space="preserve">   Az Egyesület tagsága</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Az Egyesületnek rendes, tiszteletbeli és pártoló tagjai lehetnek.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tagokat a titkár veszi nyilvántartásba és a tagok adatait az adatvédelmi jogszabálynak megfelelően őrzi.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Az Egyesület tagja lehet a Budapesti Corvinus Egyetem hallgatója, aki elfogadja az Egyesület alapszabályát és belépési nyilatkozatban vállalja, hogy tevékenyen részt vesz az egyesület munkájában, valamint fizeti a tagdíjat. A tag a belépési nyilatkozatában vállalja, mint minimumot az alábbiakat: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Részt vesz a közgyűlések legalább 60%-án.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Minimum egy programban, vagy a programok minimum 25%-ban konstruktív tevékenységet végez.</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25%-ban egyéb segítő tevékenységet (pénzszedés, plakátozás, nyomtatás, stb.) vállal.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rendes tag felvételéről – írásbeli felvételi kérelem alapján – az egyesület közgyűlése dönt.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un. rendes taggá válás folyamata: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tagjelölt az elnöknél, vagy az alelnöknél, minden szemeszter augusztus 15. napjától október 15. napjáig, vagy január 15. napjától március 15. napjáig jelentkezik,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jelentkezését követően a tagjelölt aktívan segíti az egyesület tevékenységét,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novemberi, vagy áprilisi közgyűlésen a többi un. rendes tag egyszerű többséggel meghozott igenlő szavazatával a tagjelölt rendes taggá válik.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 Közgyűlés igenlő többségű döntésétől számított 8 napon belül befizeti a féléves tagdíjat.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Az ESN Corvinus Egyesület rendes tagjai jogosultak: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részt venni az egyesület tevékenységében és rendezvényein, továbbá a Közgyűlés határozatainak meghozatalában szavazati joggal.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észrevételeket, javaslatokat tenni véleményt nyilvánítani az Egyesület működésével kapcsolatban.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ajánlásokat tenni az Egyesületet érintő kérdések megtárgyalásában.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felvilágosítást kérni az Egyesület tevékenységéről, amelyre az Egyesület 30 napon belül köteles választ adni.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választani, ill. választható az Egyesület ügyintéző és képviseleti szerveibe, ill. tisztségeire.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indítványt tenni a Közgyűlés és az Elnökség napirendi pontjaira.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betekinteni az Egyesület nyilvántartásába.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 tagok 1/3-a írásban, az ok és cél megjelölésével rendkívüli Közgyűlés és rendkívüli elnökségi ülés összehívását kezdeményezi.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Az Egyesület tiszteletbeli tagja mindaz a személy lehet állampolgárságára való tekintet nélkül, aki az egyesület működéséhez korábban jelentős mértékben hozzájárult. Az Egyesület tiszteletbeli tagjai jogosultak a szervezet rendezvényein részt venni, valamint a Közgyűlésen tanácskozási és javaslattételi joggal élni.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tiszteletbeli tag felvételéről a közgyűlés jogosult dönteni.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tiszteletbeli tag kötelezettsége a rendes tag kötelezettségétől eltérően az egyesület népszerűsítése, tevékenységének megismertetése a széles közvéleménnyel.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Pártoló tag lehet minden olyan természetes személy, jogi személy, valamint jogi személyiséggel nem rendelkező szervezet, aki az Egyesület alapszabályát elfogadja, valamint erkölcsileg és anyagilag támogatja az Egyesület működését. A tagfelvétel a rendes tagokra vonatkozó szabályok szerint történik, vagyis a pároló tag felvételéről a közgyűlés dönt.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Pártoló tag csak tanácskozási joggal vehet részt a közgyűlésen, tisztségre nem választható, tagdíjfizetési kötelezettsége nincs, szavazati joga nincs.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Az Egyesület természetes személy tagjai jogaikat kizárólag személyesen gyakorolhatják. A nem természetes személyek tagsági jogaikat képviselőik útján gyakorolhatják.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Az Egyesület tagja köteles az egyesület alapszabályát, határozatait betartani, valamint részt venni az Egyesület munkájában, elősegíteni a kitűzött célok megvalósítását.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Köteles a közgyűlés által meghatározott tagdíjat rendszeresen megfizetni.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tagsági viszony megszűnik: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 tag halálával,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az Egyesület megszűnésével,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 tag kilépésével,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 tag kizárásával.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Az Elnökség kizárja az Egyesület tagjai közül: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azt a tagot, aki 3 hónapon keresztül, az elnökség írásbeli felszólítása ellenére elmaradt a tagdíj megfizetésével,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azt, akit a bíróság jogerős és végrehajtandó szabadságvesztés büntetésre ítélt és a közügyek gyakorlásától eltiltott.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tab/>
        <w:t xml:space="preserve">azt, aki az Egyesület alapszabályát írásbeli figyelmeztetés után ismételten megsérti.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kizárt tag a határozat ellen 15 napon belül az Egyesület közgyűléséhez címzett fellebbezéssel élhet.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Ezen felül a határozatot 30 napos jogvesztő határidőn belül bíróság előtt megtámadhatja az Etv. 10.§-a alapján.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kilépési szándékot az elnökséghez kell írásban bejelenteni.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A tagdíjat az Elnökség javaslatára a Közgyűlés állapítja meg.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r>
    </w:p>
    <w:p w:rsidR="00000000" w:rsidDel="00000000" w:rsidP="00000000" w:rsidRDefault="00000000" w:rsidRPr="00000000">
      <w:pPr>
        <w:spacing w:line="240" w:lineRule="auto"/>
        <w:ind w:firstLine="288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1"/>
          <w:sz w:val="24"/>
          <w:szCs w:val="24"/>
          <w:rtl w:val="0"/>
        </w:rPr>
        <w:t xml:space="preserve">IV.</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ab/>
        <w:tab/>
        <w:tab/>
        <w:tab/>
        <w:t xml:space="preserve">    Az Egyesület szervezete</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Az Egyesület szervei: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 Közgyűlés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 Elnökség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c.) Felügyelőbizottság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 Közgyűlés az Egyesület legfőbb szerve, amelyet a tagok összessége alkotja.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Közgyűlést évente legalább egyszer össze kell hívni a hely, az időpont és a napirendi pontok közlésével.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elnöknek a tagnyilvántartásban szereplő tagok részére meghívót kell küldenie legalább 10 nappal a Közgyűlés időpontja előtt. A Közgyűlési meghívóban közölni kell azt az időpontot, amelyben az ismételt Közgyűlést meg kell tartani, ha az az eredeti időpontban nem volt határozatképes.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megismételt Közgyűlés a meghívóban közölt napirendi pontok tekintetében a jelenlevők számára tekintet nélkül határozatképes, ha erről a tagokat az eredeti meghívóban előre tájékoztatták. A Közgyűlés összehívását írásban kérheti a tagok egyharmada a cél és az ok megjelölésével. Ebben az esetben az elnök harminc napon belül köteles összehívni a Közgyűlést.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Össze kell hívni a Közgyűlést: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 a tagok egyharmada cél és az ok megjelölésével írásban kéri ezt,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 az Elnökség rendkívüli Közgyűlés összehívását tartja szükségesnek,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 a Felügyelőbizottság rendkívüli Közgyűlés összehívását tartja szükségesnek,</w:t>
      </w:r>
    </w:p>
    <w:p w:rsidR="00000000" w:rsidDel="00000000" w:rsidP="00000000" w:rsidRDefault="00000000" w:rsidRPr="00000000">
      <w:pPr>
        <w:spacing w:line="288"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ha a bíróság a Közgyűlés összehívását elrendeli.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 Közgyűlés összehívása az elnök feladata.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meghívót a tagoknak e-mailben is meg lehet küldeni, a közlés igazolására alkalmas módon.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fentieken túlmenően a Közgyűlés összehívásáról szóló hirdetményt az egyesület székhelyén is ki kell függeszteni.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 Közgyűlés határozatképes, ha azon a szavazásra jogosult tagok több mint a fele jelen van. A határozatképtelenség miatt elhalasztott Közgyűlés változatlan napirend mellett határozatképes a megjelent tagok számától függetlenül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 Közgyűlés üléseit az Elnök vezeti. Az Elnök a Közgyűlés levezetésével mást is megbízhat.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Közgyűlésről jegyzőkönyv készül, amelyet az elnök és két, a Közgyűlés által megválasztott tag hitelesít.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A Közgyűlés kizárólagos hatáskörébe tartozik: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megalakulásának, feloszlásának, más Egyesülettel történő egyesülésének a kimondása;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Alapszabály elfogadása és módosítása;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tisztségviselők megválasztása és visszahívása; ha a tisztségviselő feladata ellátására méltatlanná válik;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tagdíj mértékének megállapítása;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Elnökség éves beszámolójának elfogadása; az éves költségvetés megállapítása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döntés minden olyan kérdésben, amelyet jogszabály a Közgyűlés hatáskörébe utal.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A Közgyűlés határozatai egyszerű szótöbbséggel, nyílt szavazással hozza. Minden tagnak egy szavazata van. Szavazategyenlőség esetén a levezető Elnök szavazata dönt.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A jelenlévő tagok kétharmados szótöbbsége szükséges: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feloszlásához, más Egyesülettel történő egyesülés kimondásához.</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A tisztségviselők megválasztása titkos szavazással történik. Megválasztottnak azt a személyt kell tekinteni, aki az érvényes szavazatok több mint felét megszerezte. Amennyiben a jelöltek közül valaki nem kapja meg az érvényes szavazatok több mint felét, abban az esetben a tisztségre jelölt két legtöbb szavazatot szerzett személy között újabb szavazást kell tartani.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megismételt szavazás győztese a legtöbb szavazatot kapott személy lesz.</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Az Elnök a Közgyűlésre tanácskozási joggal meghívhatja állami, társadalmi, gazdasági szervezetek és magánszemélyek képviselőit.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 Elnökség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Elnökség a két Közgyűlés közötti időszakban irányítja az Egyesület működését. Az Elnökség szükség szerint, de évente legalább négyszer ülésezik. Az Elnökséget az Elnök írásban hívja össze. Köteles összehívni akkor is, ha az elnökség tagjainak legalább kétharmada azt kéri. Szabályszerűnek az összehívás akkor minősül, ha a tagok az ülésről legalább tíz nappal az ülés időpontját megelőzően írásban értesülnek, és az ülés tárgysorozatáról leírást kapnak. Az Elnökség ülései nyilvánosak.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ülés határozatképes, ha az elnökségi tagok több mint a fele jelen van. Az Elnökség határozatait egyszerű szótöbbséggel, nyílt szavazással hozza. Határozatképtelenség esetén legkésőbb 30 napon belül az Elnökséget ismételten össze kell hívni. Határozatképtelenség miatt ismételten összehívott elnökségi  ülés az eredeti feltételek mellett  határozatképes. Szavazategyenlőség esetén a javaslatot elvetettnek kell tekinteni. Az Elnökség üléseire – annak tárgykörére figyelemmel – esetenként további tagok hívhatók meg.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 A 5  tagú Elnökséget a Közgyűlés választja meg az Egyesület tagjai sorából.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első elnökség tagjainak mandátuma 2010. 07. (július) 01. napjáig szól. Ezt követően az elnökség tagjai mandátumának meghosszabbítása, újraválasztása a tárgyévet követő év január 01. napjáig, illetőleg a tárgyév július 01. napjáig (6 hónap) szól.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elnökség tagjai újraválaszthatóak.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14.) Az Elnökség feladata és hatásköre: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tagsági viszony keletkezésével és megszűnésével kapcsolatos eljárás;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Közgyűlés összehívásával, működésével kapcsolatos előkészítő és a Közgyűlés munkáját elősegítő szervező tevékenység;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gazdasági tevékenységével kapcsolatos döntés előkészítő munka, az éves programok, költségvetés- tervezet megvitatása, közgyűlési előterjesztés elkészítése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Szervezeti és Működési Szabályzatának megvitatása és elfogadása;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Elnök éves beszámolójának elfogadása;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személyzeti munka irányítása;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tisztségviselők, ügyintézők beszámoltatása;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tagjának kizárásával kapcsolatos eljárás;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minden olyan eljárás, amely nem tartozik a Közgyűlés kizárólagos hatáskörébe, és amelyeket az Elnökség hatáskörébe von.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Az elnökség tagjai: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Az elnök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2 db. alelnök (elnökhelyettes)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általános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ESN kapcsolattartó</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w:t>
      </w:r>
      <w:r w:rsidDel="00000000" w:rsidR="00000000" w:rsidRPr="00000000">
        <w:rPr>
          <w:rFonts w:ascii="Times New Roman" w:cs="Times New Roman" w:eastAsia="Times New Roman" w:hAnsi="Times New Roman"/>
          <w:i w:val="1"/>
          <w:sz w:val="24"/>
          <w:szCs w:val="24"/>
          <w:rtl w:val="0"/>
        </w:rPr>
        <w:t xml:space="preserve">PR menedzser</w:t>
      </w: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gazdasági- pénzügyi felelős.    </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 Az Egyesület tisztségviselői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elnöke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elnökét fél (1/2) éves időtartamra a Közgyűlés választja, aki tevékenységével a Közgyűlésnek felelős.</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Elnök feladata és hatásköre: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tevékenységének irányítása;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Közgyűlés összehívása, határozatainak ellenjegyzése;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döntés és intézkedés az Elnökség ülései közötti időszakban az Elnökség hatáskörébe tartozó kérdésekben;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 Közgyűlés és az Elnökség által hozott határozatok és állásfoglalások végrehajtásának irányítása és ellenőrzése;</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kapcsolattartás más társadalmi és érdekképviseleti szervezetekkel;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irányítja az Elnökség munkáját;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vezeti az Elnökség üléseit;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képviseli</w:t>
      </w:r>
      <w:r w:rsidDel="00000000" w:rsidR="00000000" w:rsidRPr="00000000">
        <w:rPr>
          <w:rFonts w:ascii="Times New Roman" w:cs="Times New Roman" w:eastAsia="Times New Roman" w:hAnsi="Times New Roman"/>
          <w:sz w:val="24"/>
          <w:szCs w:val="24"/>
          <w:rtl w:val="0"/>
        </w:rPr>
        <w:t xml:space="preserve"> az Egyesületet;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intézkedik és dönt a hatáskörébe utalt ügyekben;</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összehívja az Elnökség üléseit;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vezeti az ügyintéző apparátust;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irányítja az Egyesület gazdálkodását;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utalványozási jogot gyakorol azzal, hogy az Egyesület bankszámlája felett a rendelkezési jogot a mindenkori gazdasági- pénzügyi felelőssel együtt gyakorolhatja.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gyakorolja a munkáltatói jogokat;</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minden olyan feladat ellátása, amelyet jogszabály az Elnök hatáskörébe utal.</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17. Az Egyesület alelnöke</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Elnököt távollétében az alelnökök vagy az alelnökök egyike helyettesítik. Helyettesítés esetén az alelnök teljes joggal képviseli az Egyesületet, és gyakorolja az elnök jogait.</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alelnökök feladatai különösen:</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a.)Az általános alelnök feladata az folyamatban levő programok összefogása, koordinálása, valamint az elnöki teendők ellátása az elnök akadályoztatása esetén.</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b)Az ESN kapcsolattartó alelnök a többi egyetemmel, főiskolával, valamint az ESN nemzetközi szervezet magyarországi és nemzetközi képviseleteivel tartja a kapcsolatot.</w:t>
      </w:r>
    </w:p>
    <w:p w:rsidR="00000000" w:rsidDel="00000000" w:rsidP="00000000" w:rsidRDefault="00000000" w:rsidRPr="00000000">
      <w:pPr>
        <w:spacing w:before="240" w:line="240" w:lineRule="auto"/>
        <w:contextualSpacing w:val="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18.) A PR menedzser felelős a nemzetközi diákok felé történő kommunikációért, az események hirdetéséért és promóciójáért, az Egyesület vizuális megjelenésének folytonos javításáért.</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19.) A gazdasági-pénzügyi felelős felügyeli az Egyesület pénzügyeit, köteles évenként beszámolót készíteni a közgyűlésnek, felelős az Egyesület, pénzügyi gazdasági tevékenységéért.</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elnökével együttesen jogosult az Egyesület bankszámlája felett rendelkezni.</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Felügyelő Bizottság </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Feladata az Egyesület alapszabályában rögzített tevékenységének, gazdálkodásának folyamatos ellenőrzése és felügyelete. Működéséért a közgyűlésnek felel.</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A Felügyelő Bizottság a tisztségviselőktől jelentést, tájékoztatást és felvilágosítást kérhet, könyveibe és irataiba betekinthet, azokat megvizsgálhatja.</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A Felügyelő Bizottság 3 tagját a Közgyűlés választja meg 3 évre.</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23.) A Felügyelő Bizottság elnökét az Egyesület választott testületeinek üléseire tanácskozási joggal meg kell hívni.</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 A Felügyelő Bizottság szükség szerint de évente legalább kétszer ülésezik, mely ülést a Felügyelő Bizottság elnöke a tervezett időpont előtt legalább 10 nappal írásban hív össze a napirend egyidejű írásbeli közlésével.</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bizottsági ülések nyilvánosak, amennyiben ez az Egyesület vagy mások jogát, jogos érdekét nem veszélyezteti. </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Zárt ülés elrendeléséről az előző bekezdésben foglalt indokok alapján a Felügyelő Bizottság elnöke jogosult dönteni.</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Felügyelő Bizottság határozatait egyszerű szótöbbséggel hozza, szavazategyenlőség esetén a bizottság elnökének szavazata dönt. Munkarendjét maga határozza meg. </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határozatokat az érintettekkel a Felügyelő Bizottság elnöke közli írásban.</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25.) A Felügyelő Bizottság munkájáról és megállapításairól írásban tartozik a Közgyűlést tájékoztatni.</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26.) A Felügyelő Bizottság köteles az intézkedésre jogosult vezető szervet tájékoztatni, és annak összehívását kezdeményezni, ha arról szerez tudomást, hogy</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szervezet működése során olyan jogszabálysértés vagy a szervezet érdekeit egyébként súlyosan sértő esemény (mulasztás) történt, amelynek megszüntetése vagy következményeinek elhárítása, illetve enyhítése az intézkedésre jogosult vezetőszerv döntését teszi szükségessé.</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 vezető tisztségviselők felelősségét megalapozó tény merült fel.</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 Az intézkedésre jogosult vezető szervet a felügyelő szerv indítványára - annak megtételétől számított tizenöt napon belül - össze kell hívni. E határidő eredménytelen eltelte esetén a vezetőszerv összehívására a Felügyelő Bizottság is jogosult.</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28.) Ha az arra jogosult szerv a törvényes működés helyreállítása érdekében szükséges intézkedéseket nem teszi meg a Felügyelő Bizottság köteles haladéktalanul értesíteni a törvényességi ellenőrzést ellátó szervet. [2011. évi CLXXV. törvény (Ectv.) 11.§].</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29.) Nem lehet a felügyelő szerv elnöke vagy tagja, illetve könyvvizsgálója az a személy, aki</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a vezető szerv elnöke vagy tagja,</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az Egyesülettel a megbízatásán kívüli más tevékenység kifejtésére irányuló munkaviszonyban vagy munkavégzésre irányuló egyéb jogviszonyban áll,</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az Egyesület tiszteletbeli tagja</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az Egyesülettel cél szerinti juttatásából részesül - kivéve a bárki által megkötés nélkül igénybe vehető nem pénzbeli szolgáltatásokat, és a társadalmi szervezet által tagjának a tagsági jogviszony alapján nyújtott, létesítő okiratnak megfelelő cél szerinti juttatást -, illetve</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 az a)-d) pontban meghatározott személyek hozzátartozója.</w:t>
      </w:r>
    </w:p>
    <w:p w:rsidR="00000000" w:rsidDel="00000000" w:rsidP="00000000" w:rsidRDefault="00000000" w:rsidRPr="00000000">
      <w:pPr>
        <w:spacing w:before="4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Az Egyesület vagyona és gazdálkodása</w:t>
      </w:r>
      <w:r w:rsidDel="00000000" w:rsidR="00000000" w:rsidRPr="00000000">
        <w:rPr>
          <w:rtl w:val="0"/>
        </w:rPr>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Az Egyesület éves költségvetés alapján gazdálkodik, amelyet a Közgyűlés fogad el. Az Egyesület gazdálkodásáról az Elnökség jelentést készít, amelyet elfogadás céljából a Közgyűlés elé terjeszt.</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Az Egyesület működéséhez szükséges bevételeket az alábbiak jelentik: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tagsági díjak, amelyet a Közgyűlés állapít meg;</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magán és jogi személyek támogatásai;</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Budapesti Corvinus Egyetem Nemzetközi Iroda támogatása;</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gazdasági, vállalkozási tevékenységéből származó bevétel;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rendezvény bevétel;</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egyéb bevételek.</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Az Egyesület bevételeivel önállóan gazdálkodik, tartozásaiért saját vagyonával felel. Az Egyesület tagjai az Egyesület tartozásaiért – a befizetett tagdíjakon túlmenően – nem felelnek.</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Az Egyesület vállalkozási tevékenységéből származó bevételének megállapítását a társadalmi szervezetek gazdálkodási tevékenységéről szóló hatályos jogszabályok alapján végzi.</w:t>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Az Egyesület pénzeszközeit számlán kezeli.</w:t>
      </w:r>
    </w:p>
    <w:p w:rsidR="00000000" w:rsidDel="00000000" w:rsidP="00000000" w:rsidRDefault="00000000" w:rsidRPr="00000000">
      <w:pPr>
        <w:spacing w:before="4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Az Egyesület megszűnése</w:t>
      </w:r>
      <w:r w:rsidDel="00000000" w:rsidR="00000000" w:rsidRPr="00000000">
        <w:rPr>
          <w:rtl w:val="0"/>
        </w:rPr>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Az Egyesület megszűnik:</w:t>
      </w:r>
    </w:p>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    ha a Közgyűlés az Egyesület feloszlását kimondja,</w:t>
      </w:r>
    </w:p>
    <w:p w:rsidR="00000000" w:rsidDel="00000000" w:rsidP="00000000" w:rsidRDefault="00000000" w:rsidRPr="00000000">
      <w:pPr>
        <w:numPr>
          <w:ilvl w:val="0"/>
          <w:numId w:val="1"/>
        </w:numPr>
        <w:spacing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rtl w:val="0"/>
        </w:rPr>
        <w:t xml:space="preserve">ha feloszlatják,</w:t>
      </w:r>
      <w:r w:rsidDel="00000000" w:rsidR="00000000" w:rsidRPr="00000000">
        <w:rPr>
          <w:rtl w:val="0"/>
        </w:rPr>
      </w:r>
    </w:p>
    <w:p w:rsidR="00000000" w:rsidDel="00000000" w:rsidP="00000000" w:rsidRDefault="00000000" w:rsidRPr="00000000">
      <w:pPr>
        <w:numPr>
          <w:ilvl w:val="0"/>
          <w:numId w:val="1"/>
        </w:numPr>
        <w:spacing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rtl w:val="0"/>
        </w:rPr>
        <w:t xml:space="preserve">ha más szervezettel egyesül,</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0"/>
        <w:rPr>
          <w:sz w:val="24"/>
          <w:szCs w:val="24"/>
        </w:rPr>
      </w:pPr>
      <w:r w:rsidDel="00000000" w:rsidR="00000000" w:rsidRPr="00000000">
        <w:rPr>
          <w:rFonts w:ascii="Times New Roman" w:cs="Times New Roman" w:eastAsia="Times New Roman" w:hAnsi="Times New Roman"/>
          <w:sz w:val="24"/>
          <w:szCs w:val="24"/>
          <w:rtl w:val="0"/>
        </w:rPr>
        <w:t xml:space="preserve">ha megszűnését megállapítják.</w:t>
      </w:r>
      <w:r w:rsidDel="00000000" w:rsidR="00000000" w:rsidRPr="00000000">
        <w:rPr>
          <w:rtl w:val="0"/>
        </w:rPr>
      </w:r>
    </w:p>
    <w:p w:rsidR="00000000" w:rsidDel="00000000" w:rsidP="00000000" w:rsidRDefault="00000000" w:rsidRPr="00000000">
      <w:pPr>
        <w:spacing w:line="240" w:lineRule="auto"/>
        <w:ind w:left="360"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36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 az Egyesület feloszlással, vagy más szervezettel való egyesüléssel szűnik meg, az Egyesület vagyonáról a közgyűlés rendelkezik, felszámolóként az Egyesület volt ügyintéző szerve, az elnökség jár el.</w:t>
      </w:r>
    </w:p>
    <w:p w:rsidR="00000000" w:rsidDel="00000000" w:rsidP="00000000" w:rsidRDefault="00000000" w:rsidRPr="00000000">
      <w:pPr>
        <w:spacing w:before="480"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VII.</w:t>
      </w:r>
      <w:r w:rsidDel="00000000" w:rsidR="00000000" w:rsidRPr="00000000">
        <w:rPr>
          <w:rtl w:val="0"/>
        </w:rPr>
      </w:r>
    </w:p>
    <w:p w:rsidR="00000000" w:rsidDel="00000000" w:rsidP="00000000" w:rsidRDefault="00000000" w:rsidRPr="00000000">
      <w:pPr>
        <w:spacing w:line="24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Vegyes és záró rendelkezések</w:t>
      </w:r>
      <w:r w:rsidDel="00000000" w:rsidR="00000000" w:rsidRPr="00000000">
        <w:rPr>
          <w:rtl w:val="0"/>
        </w:rPr>
      </w:r>
    </w:p>
    <w:p w:rsidR="00000000" w:rsidDel="00000000" w:rsidP="00000000" w:rsidRDefault="00000000" w:rsidRPr="00000000">
      <w:pPr>
        <w:spacing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Jelen Alapszabályban nem szabályozott kérdésekre a Polgári Törvénykönyv, az 1989. évi II. törvény, valamint a mindenkor hatályos egyéb jogszabályok irányadóak.</w:t>
      </w:r>
    </w:p>
    <w:p w:rsidR="00000000" w:rsidDel="00000000" w:rsidP="00000000" w:rsidRDefault="00000000" w:rsidRPr="00000000">
      <w:pPr>
        <w:spacing w:after="24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Alapszabályát a 2009. október 14-i Közgyűlés fogadta el.</w:t>
      </w:r>
    </w:p>
    <w:p w:rsidR="00000000" w:rsidDel="00000000" w:rsidP="00000000" w:rsidRDefault="00000000" w:rsidRPr="00000000">
      <w:pPr>
        <w:spacing w:after="24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Alapszabályát a I./2. pontban a 2011. június 15-i Közgyűlés módosította</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pPr>
        <w:spacing w:after="240" w:before="24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Alapszabályát a II./2., III/10., IV/1., IV/3., IV/20-29.  pontokban a 2012. április 11-i Közgyűlés módosította.</w:t>
      </w:r>
    </w:p>
    <w:p w:rsidR="00000000" w:rsidDel="00000000" w:rsidP="00000000" w:rsidRDefault="00000000" w:rsidRPr="00000000">
      <w:pPr>
        <w:spacing w:after="240" w:before="240" w:line="276" w:lineRule="auto"/>
        <w:contextualSpacing w:val="0"/>
        <w:rPr>
          <w:rFonts w:ascii="Times New Roman" w:cs="Times New Roman" w:eastAsia="Times New Roman" w:hAnsi="Times New Roman"/>
          <w:i w:val="1"/>
          <w:sz w:val="24"/>
          <w:szCs w:val="24"/>
        </w:rPr>
      </w:pPr>
      <w:bookmarkStart w:colFirst="0" w:colLast="0" w:name="_gjdgxs" w:id="0"/>
      <w:bookmarkEnd w:id="0"/>
      <w:r w:rsidDel="00000000" w:rsidR="00000000" w:rsidRPr="00000000">
        <w:rPr>
          <w:rFonts w:ascii="Times New Roman" w:cs="Times New Roman" w:eastAsia="Times New Roman" w:hAnsi="Times New Roman"/>
          <w:i w:val="1"/>
          <w:sz w:val="24"/>
          <w:szCs w:val="24"/>
          <w:rtl w:val="0"/>
        </w:rPr>
        <w:t xml:space="preserve">Az Egyesület Alapszabályát a I/4., a II., és a IV/15., IV/18. pontokban a 2017. november 20-i Közgyűlés módosította.</w:t>
      </w:r>
    </w:p>
    <w:p w:rsidR="00000000" w:rsidDel="00000000" w:rsidP="00000000" w:rsidRDefault="00000000" w:rsidRPr="00000000">
      <w:pPr>
        <w:spacing w:after="240" w:before="240" w:line="240" w:lineRule="auto"/>
        <w:contextualSpacing w:val="0"/>
        <w:rPr>
          <w:rFonts w:ascii="Times New Roman" w:cs="Times New Roman" w:eastAsia="Times New Roman" w:hAnsi="Times New Roman"/>
          <w:sz w:val="24"/>
          <w:szCs w:val="24"/>
        </w:rPr>
      </w:pPr>
      <w:r w:rsidDel="00000000" w:rsidR="00000000" w:rsidRPr="00000000">
        <w:rPr>
          <w:rtl w:val="0"/>
        </w:rPr>
      </w:r>
    </w:p>
    <w:tbl>
      <w:tblPr>
        <w:tblStyle w:val="Table1"/>
        <w:tblW w:w="9212.0" w:type="dxa"/>
        <w:jc w:val="left"/>
        <w:tblInd w:w="0.0" w:type="pct"/>
        <w:tblLayout w:type="fixed"/>
        <w:tblLook w:val="0000"/>
      </w:tblPr>
      <w:tblGrid>
        <w:gridCol w:w="4606"/>
        <w:gridCol w:w="4606"/>
        <w:tblGridChange w:id="0">
          <w:tblGrid>
            <w:gridCol w:w="4606"/>
            <w:gridCol w:w="4606"/>
          </w:tblGrid>
        </w:tblGridChange>
      </w:tblGrid>
      <w:tr>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Kelt: </w:t>
            </w:r>
            <w:r w:rsidDel="00000000" w:rsidR="00000000" w:rsidRPr="00000000">
              <w:rPr>
                <w:rFonts w:ascii="Times New Roman" w:cs="Times New Roman" w:eastAsia="Times New Roman" w:hAnsi="Times New Roman"/>
                <w:i w:val="1"/>
                <w:sz w:val="24"/>
                <w:szCs w:val="24"/>
                <w:rtl w:val="0"/>
              </w:rPr>
              <w:t xml:space="preserve">Budapest, 2017. november 20</w:t>
            </w:r>
            <w:r w:rsidDel="00000000" w:rsidR="00000000" w:rsidRPr="00000000">
              <w:rPr>
                <w:rtl w:val="0"/>
              </w:rPr>
            </w:r>
          </w:p>
        </w:tc>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p>
        </w:tc>
      </w:tr>
      <w:tr>
        <w:tc>
          <w:tcPr/>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jegyzőkönyvvezető</w:t>
            </w:r>
          </w:p>
        </w:tc>
        <w:tc>
          <w:tcPr/>
          <w:p w:rsidR="00000000" w:rsidDel="00000000" w:rsidP="00000000" w:rsidRDefault="00000000" w:rsidRPr="00000000">
            <w:pPr>
              <w:spacing w:line="240" w:lineRule="auto"/>
              <w:ind w:left="57" w:right="57" w:firstLine="0"/>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Egyesület elnöke</w:t>
            </w:r>
          </w:p>
        </w:tc>
      </w:tr>
      <w:tr>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Előttünk, mint tanúk előtt:</w:t>
            </w:r>
          </w:p>
        </w:tc>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Lakcím:</w:t>
            </w:r>
          </w:p>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r>
      <w:tr>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p w:rsidR="00000000" w:rsidDel="00000000" w:rsidP="00000000" w:rsidRDefault="00000000" w:rsidRPr="00000000">
            <w:pPr>
              <w:spacing w:line="240" w:lineRule="auto"/>
              <w:ind w:left="57" w:right="57" w:firstLine="0"/>
              <w:contextualSpacing w:val="0"/>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Lakcím:</w:t>
      </w:r>
    </w:p>
    <w:sectPr>
      <w:footerReference r:id="rId6" w:type="default"/>
      <w:pgSz w:h="16838" w:w="11906"/>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36"/>
        <w:tab w:val="right" w:pos="9072"/>
      </w:tabs>
      <w:spacing w:line="240" w:lineRule="auto"/>
      <w:contextualSpacing w:val="0"/>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pPr>
      <w:tabs>
        <w:tab w:val="center" w:pos="4536"/>
        <w:tab w:val="right" w:pos="9072"/>
      </w:tabs>
      <w:spacing w:after="1416" w:line="240" w:lineRule="auto"/>
      <w:ind w:right="360"/>
      <w:contextualSpacing w:val="0"/>
      <w:rPr>
        <w:rFonts w:ascii="Times New Roman" w:cs="Times New Roman" w:eastAsia="Times New Roman" w:hAnsi="Times New Roman"/>
        <w:sz w:val="24"/>
        <w:szCs w:val="24"/>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9"/>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9"/>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hu-HU"/>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